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32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6"/>
          <w:sz w:val="32"/>
          <w:szCs w:val="32"/>
        </w:rPr>
        <w:t>附件</w:t>
      </w:r>
      <w:r>
        <w:rPr>
          <w:rFonts w:hint="default" w:eastAsia="黑体" w:cs="Times New Roman"/>
          <w:spacing w:val="-6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 w:cs="宋体"/>
          <w:sz w:val="40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宋体"/>
          <w:sz w:val="40"/>
          <w:szCs w:val="44"/>
        </w:rPr>
      </w:pPr>
      <w:r>
        <w:rPr>
          <w:rFonts w:hint="eastAsia" w:ascii="方正小标宋简体" w:eastAsia="方正小标宋简体" w:cs="宋体"/>
          <w:sz w:val="40"/>
          <w:szCs w:val="44"/>
        </w:rPr>
        <w:t>202</w:t>
      </w:r>
      <w:r>
        <w:rPr>
          <w:rFonts w:ascii="方正小标宋简体" w:eastAsia="方正小标宋简体" w:cs="宋体"/>
          <w:sz w:val="40"/>
          <w:szCs w:val="44"/>
        </w:rPr>
        <w:t>5</w:t>
      </w:r>
      <w:r>
        <w:rPr>
          <w:rFonts w:hint="eastAsia" w:ascii="方正小标宋简体" w:eastAsia="方正小标宋简体" w:cs="宋体"/>
          <w:sz w:val="40"/>
          <w:szCs w:val="44"/>
        </w:rPr>
        <w:t>年度区域创新发展联合基金（黑龙江）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spacing w:val="-6"/>
          <w:sz w:val="40"/>
          <w:szCs w:val="44"/>
        </w:rPr>
      </w:pPr>
      <w:r>
        <w:rPr>
          <w:rFonts w:hint="eastAsia" w:ascii="方正小标宋简体" w:eastAsia="方正小标宋简体" w:cs="宋体"/>
          <w:sz w:val="40"/>
          <w:szCs w:val="44"/>
        </w:rPr>
        <w:t>指南建议</w:t>
      </w:r>
      <w:r>
        <w:rPr>
          <w:rFonts w:hint="eastAsia" w:ascii="方正小标宋简体" w:eastAsia="方正小标宋简体" w:cs="Times New Roman"/>
          <w:spacing w:val="-6"/>
          <w:sz w:val="40"/>
          <w:szCs w:val="44"/>
        </w:rPr>
        <w:t>限项推荐安排表</w:t>
      </w:r>
    </w:p>
    <w:p>
      <w:pPr>
        <w:spacing w:line="600" w:lineRule="exact"/>
        <w:jc w:val="right"/>
        <w:rPr>
          <w:rFonts w:ascii="仿宋_GB2312" w:eastAsia="仿宋_GB2312" w:cs="Times New Roman"/>
          <w:spacing w:val="-6"/>
          <w:sz w:val="32"/>
          <w:szCs w:val="32"/>
        </w:rPr>
      </w:pPr>
      <w:r>
        <w:rPr>
          <w:rFonts w:hint="eastAsia" w:ascii="仿宋_GB2312" w:eastAsia="仿宋_GB2312" w:cs="Times New Roman"/>
          <w:spacing w:val="-6"/>
          <w:sz w:val="32"/>
          <w:szCs w:val="32"/>
        </w:rPr>
        <w:t>（单位：项）</w:t>
      </w:r>
    </w:p>
    <w:tbl>
      <w:tblPr>
        <w:tblStyle w:val="5"/>
        <w:tblW w:w="8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074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eastAsia="黑体"/>
                <w:bCs/>
                <w:color w:val="000000"/>
                <w:sz w:val="28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</w:rPr>
              <w:t>序号</w:t>
            </w:r>
          </w:p>
        </w:tc>
        <w:tc>
          <w:tcPr>
            <w:tcW w:w="5074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eastAsia="黑体"/>
                <w:bCs/>
                <w:color w:val="000000"/>
                <w:sz w:val="28"/>
              </w:rPr>
            </w:pPr>
            <w:r>
              <w:rPr>
                <w:rFonts w:ascii="黑体" w:eastAsia="黑体"/>
                <w:bCs/>
                <w:color w:val="000000"/>
                <w:sz w:val="28"/>
              </w:rPr>
              <w:t>单位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eastAsia="黑体"/>
                <w:bCs/>
                <w:color w:val="000000"/>
                <w:sz w:val="28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哈尔滨工业大学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/>
                <w:sz w:val="28"/>
              </w:rPr>
            </w:pPr>
            <w:r>
              <w:rPr>
                <w:rFonts w:hint="default" w:eastAsia="仿宋_GB2312"/>
                <w:sz w:val="28"/>
              </w:rPr>
              <w:t>3</w:t>
            </w:r>
            <w:r>
              <w:rPr>
                <w:rFonts w:hint="default" w:eastAsia="仿宋_GB2312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2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哈尔滨医科大学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/>
                <w:sz w:val="28"/>
              </w:rPr>
            </w:pPr>
            <w:r>
              <w:rPr>
                <w:rFonts w:hint="default" w:eastAsia="仿宋_GB2312"/>
                <w:sz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3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哈尔滨工程大学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/>
                <w:sz w:val="28"/>
              </w:rPr>
            </w:pPr>
            <w:r>
              <w:rPr>
                <w:rFonts w:hint="default" w:eastAsia="仿宋_GB2312"/>
                <w:sz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4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东北农业大学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/>
                <w:sz w:val="28"/>
              </w:rPr>
            </w:pPr>
            <w:r>
              <w:rPr>
                <w:rFonts w:hint="default" w:eastAsia="仿宋_GB2312"/>
                <w:sz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</w:rPr>
              <w:t>5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东北林业大学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/>
                <w:sz w:val="28"/>
              </w:rPr>
            </w:pPr>
            <w:r>
              <w:rPr>
                <w:rFonts w:hint="default" w:eastAsia="仿宋_GB2312"/>
                <w:sz w:val="28"/>
              </w:rPr>
              <w:t>14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</w:rPr>
              <w:t>6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东北石油大学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0"/>
                <w:lang w:eastAsia="zh-CN" w:bidi="ar-SA"/>
              </w:rPr>
            </w:pPr>
            <w:r>
              <w:rPr>
                <w:rFonts w:hint="default" w:eastAsia="仿宋_GB2312" w:cs="Times New Roman"/>
                <w:kern w:val="2"/>
                <w:sz w:val="28"/>
                <w:lang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</w:rPr>
              <w:t>7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黑龙江中医药大学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0"/>
                <w:lang w:eastAsia="zh-CN" w:bidi="ar-SA"/>
              </w:rPr>
            </w:pPr>
            <w:r>
              <w:rPr>
                <w:rFonts w:hint="default" w:eastAsia="仿宋_GB2312" w:cs="Times New Roman"/>
                <w:kern w:val="2"/>
                <w:sz w:val="28"/>
                <w:lang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</w:rPr>
              <w:t>8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哈尔滨理工大学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0"/>
                <w:lang w:eastAsia="zh-CN" w:bidi="ar-SA"/>
              </w:rPr>
            </w:pPr>
            <w:r>
              <w:rPr>
                <w:rFonts w:hint="default" w:eastAsia="仿宋_GB2312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</w:rPr>
              <w:t>9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黑龙江大学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0"/>
                <w:lang w:eastAsia="zh-CN" w:bidi="ar-SA"/>
              </w:rPr>
            </w:pPr>
            <w:r>
              <w:rPr>
                <w:rFonts w:hint="default" w:eastAsia="仿宋_GB2312" w:cs="Times New Roman"/>
                <w:kern w:val="2"/>
                <w:sz w:val="28"/>
                <w:lang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</w:rPr>
              <w:t>10</w:t>
            </w: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中国农业科学院哈尔滨兽医研究所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0"/>
                <w:lang w:eastAsia="zh-CN" w:bidi="ar-SA"/>
              </w:rPr>
            </w:pPr>
            <w:r>
              <w:rPr>
                <w:rFonts w:hint="default" w:eastAsia="仿宋_GB2312" w:cs="Times New Roman"/>
                <w:kern w:val="2"/>
                <w:sz w:val="28"/>
                <w:lang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5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合计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600" w:lineRule="exact"/>
        <w:ind w:left="568" w:leftChars="-66" w:hanging="707" w:hangingChars="221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注：1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限项推荐安排表主要参照推荐单位获得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国家自然科学基金项目</w:t>
      </w:r>
      <w:r>
        <w:rPr>
          <w:rFonts w:eastAsia="仿宋_GB2312" w:cs="Times New Roman"/>
          <w:kern w:val="0"/>
          <w:sz w:val="32"/>
          <w:szCs w:val="32"/>
        </w:rPr>
        <w:t>及区域创新发展联合基金（黑龙江）指南项目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情况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进行测算；</w:t>
      </w:r>
    </w:p>
    <w:p>
      <w:pPr>
        <w:widowControl/>
        <w:spacing w:line="600" w:lineRule="exact"/>
        <w:ind w:left="424" w:leftChars="202" w:firstLine="140" w:firstLineChars="44"/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表中未涉及的单位，推荐数量原则上不超过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项。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6EDC5D7"/>
    <w:rsid w:val="4FDDDB30"/>
    <w:rsid w:val="77FF5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1</Company>
  <Pages>1</Pages>
  <Words>0</Words>
  <Characters>215</Characters>
  <Lines>0</Lines>
  <Paragraphs>8</Paragraphs>
  <TotalTime>5</TotalTime>
  <ScaleCrop>false</ScaleCrop>
  <LinksUpToDate>false</LinksUpToDate>
  <CharactersWithSpaces>287</CharactersWithSpaces>
  <Application>WPS Office_11.8.2.9339_F1E327BC-269C-435d-A152-05C5408002CA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2021-03-21T11:34:00Z</dcterms:created>
  <dc:creator>Lenovo</dc:creator>
  <cp:lastModifiedBy>greatwall</cp:lastModifiedBy>
  <cp:lastPrinted>2024-01-31T18:25:21Z</cp:lastPrinted>
  <dcterms:modified xsi:type="dcterms:W3CDTF">2024-01-31T18:26:37Z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